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7DB" w:rsidRPr="00EE746C" w:rsidP="00E147DB">
      <w:pPr>
        <w:pStyle w:val="Title"/>
        <w:rPr>
          <w:b w:val="0"/>
          <w:sz w:val="26"/>
          <w:szCs w:val="26"/>
        </w:rPr>
      </w:pPr>
      <w:r w:rsidRPr="00EE746C">
        <w:rPr>
          <w:b w:val="0"/>
          <w:sz w:val="26"/>
          <w:szCs w:val="26"/>
        </w:rPr>
        <w:t xml:space="preserve">ПОСТАНОВЛЕНИЕ </w:t>
      </w:r>
    </w:p>
    <w:p w:rsidR="00E147DB" w:rsidRPr="00EE746C" w:rsidP="00E147DB">
      <w:pPr>
        <w:jc w:val="center"/>
        <w:rPr>
          <w:sz w:val="26"/>
          <w:szCs w:val="26"/>
        </w:rPr>
      </w:pPr>
      <w:r w:rsidRPr="00EE746C">
        <w:rPr>
          <w:sz w:val="26"/>
          <w:szCs w:val="26"/>
        </w:rPr>
        <w:t xml:space="preserve">о назначении административного наказания </w:t>
      </w:r>
    </w:p>
    <w:p w:rsidR="00E147DB" w:rsidRPr="00EE746C" w:rsidP="00E147DB">
      <w:pPr>
        <w:jc w:val="both"/>
        <w:rPr>
          <w:sz w:val="26"/>
          <w:szCs w:val="26"/>
        </w:rPr>
      </w:pPr>
    </w:p>
    <w:p w:rsidR="00E147DB" w:rsidRPr="00EE746C" w:rsidP="00E147DB">
      <w:pPr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г. Ханты-Мансийск                                                                   </w:t>
      </w:r>
      <w:r w:rsidR="00EE746C">
        <w:rPr>
          <w:sz w:val="26"/>
          <w:szCs w:val="26"/>
        </w:rPr>
        <w:t xml:space="preserve">       </w:t>
      </w:r>
      <w:r w:rsidRPr="00EE746C">
        <w:rPr>
          <w:sz w:val="26"/>
          <w:szCs w:val="26"/>
        </w:rPr>
        <w:t xml:space="preserve">09 августа 2024 года </w:t>
      </w:r>
    </w:p>
    <w:p w:rsidR="00E147DB" w:rsidRPr="00EE746C" w:rsidP="00E147DB">
      <w:pPr>
        <w:jc w:val="both"/>
        <w:rPr>
          <w:sz w:val="26"/>
          <w:szCs w:val="26"/>
        </w:rPr>
      </w:pP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– Югры Новокшенова О.А.,</w:t>
      </w:r>
    </w:p>
    <w:p w:rsidR="00E147DB" w:rsidRPr="00EE746C" w:rsidP="00A0140A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5-1029-2802/2024, возбужденное по ч.12 ст.19.5 Кодекса Российской Федерации об административных правонарушениях в отношении в отношении юридического лица – ДТСН «Движенец», </w:t>
      </w:r>
      <w:r w:rsidR="00A0140A">
        <w:rPr>
          <w:sz w:val="26"/>
          <w:szCs w:val="26"/>
        </w:rPr>
        <w:t xml:space="preserve">*** </w:t>
      </w:r>
      <w:r w:rsidRPr="00EE746C">
        <w:rPr>
          <w:sz w:val="26"/>
          <w:szCs w:val="26"/>
        </w:rPr>
        <w:t>УСТАНОВИЛ:</w:t>
      </w:r>
    </w:p>
    <w:p w:rsidR="00E147DB" w:rsidRPr="00EE746C" w:rsidP="00E147DB">
      <w:pPr>
        <w:pStyle w:val="BodyText"/>
        <w:ind w:firstLine="567"/>
        <w:rPr>
          <w:szCs w:val="26"/>
        </w:rPr>
      </w:pPr>
      <w:r w:rsidRPr="00EE746C">
        <w:rPr>
          <w:szCs w:val="26"/>
        </w:rPr>
        <w:t xml:space="preserve">18.06.2024 в 00 час. 01 мин. ДТСН «Движенец» совершило правонарушение по адресу: </w:t>
      </w:r>
      <w:r w:rsidR="00A0140A">
        <w:rPr>
          <w:szCs w:val="26"/>
        </w:rPr>
        <w:t xml:space="preserve">*** </w:t>
      </w:r>
      <w:r w:rsidRPr="00EE746C">
        <w:rPr>
          <w:szCs w:val="26"/>
        </w:rPr>
        <w:t xml:space="preserve">выразившееся в невыполнении в установленный до 17.06.2024 срок п.1,2 предписания от 19.06.2023 № </w:t>
      </w:r>
      <w:r w:rsidR="00A0140A">
        <w:rPr>
          <w:szCs w:val="26"/>
        </w:rPr>
        <w:t>***</w:t>
      </w:r>
      <w:r w:rsidRPr="00EE746C">
        <w:rPr>
          <w:szCs w:val="26"/>
        </w:rPr>
        <w:t xml:space="preserve">, выданного Управлением надзорной деятельности и профилактической работы по </w:t>
      </w:r>
      <w:r w:rsidRPr="00EE746C">
        <w:rPr>
          <w:szCs w:val="26"/>
        </w:rPr>
        <w:t>г.Ханты-Мансийску</w:t>
      </w:r>
      <w:r w:rsidRPr="00EE746C">
        <w:rPr>
          <w:szCs w:val="26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EE746C" w:rsidRPr="00EE746C" w:rsidP="00EE746C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В судебное заседание представитель ДТСН «Движенец» не явился, о месте и времени рассмотрения дела </w:t>
      </w:r>
      <w:r w:rsidRPr="00EE746C">
        <w:rPr>
          <w:sz w:val="26"/>
          <w:szCs w:val="26"/>
        </w:rPr>
        <w:t>юрлицо</w:t>
      </w:r>
      <w:r w:rsidRPr="00EE746C">
        <w:rPr>
          <w:sz w:val="26"/>
          <w:szCs w:val="26"/>
        </w:rPr>
        <w:t xml:space="preserve"> извещено надлежащим образом. Ходатайство об отложении рассмотрения дела от него не поступило; уважительная причина неявки судом не установлена. </w:t>
      </w:r>
    </w:p>
    <w:p w:rsidR="00EE746C" w:rsidRPr="00EE746C" w:rsidP="00EE746C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В соответствии с частью </w:t>
      </w:r>
      <w:r w:rsidRPr="00EE746C">
        <w:rPr>
          <w:sz w:val="26"/>
          <w:szCs w:val="26"/>
        </w:rPr>
        <w:t>2  ст.25.1</w:t>
      </w:r>
      <w:r w:rsidRPr="00EE746C">
        <w:rPr>
          <w:sz w:val="26"/>
          <w:szCs w:val="26"/>
        </w:rPr>
        <w:t xml:space="preserve">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E746C" w:rsidRPr="00EE746C" w:rsidP="00EE746C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Мировой судья продолжил рассмотрение дела в отсутствие представителя </w:t>
      </w:r>
      <w:r w:rsidRPr="00EE746C">
        <w:rPr>
          <w:sz w:val="26"/>
          <w:szCs w:val="26"/>
        </w:rPr>
        <w:t>юрлица</w:t>
      </w:r>
      <w:r w:rsidRPr="00EE746C">
        <w:rPr>
          <w:sz w:val="26"/>
          <w:szCs w:val="26"/>
        </w:rPr>
        <w:t>.</w:t>
      </w:r>
    </w:p>
    <w:p w:rsidR="00E147DB" w:rsidRPr="00EE746C" w:rsidP="00E147DB">
      <w:pPr>
        <w:ind w:firstLine="567"/>
        <w:jc w:val="both"/>
        <w:rPr>
          <w:color w:val="000000" w:themeColor="text1"/>
          <w:sz w:val="26"/>
          <w:szCs w:val="26"/>
        </w:rPr>
      </w:pPr>
      <w:r w:rsidRPr="00EE746C">
        <w:rPr>
          <w:color w:val="000000" w:themeColor="text1"/>
          <w:sz w:val="26"/>
          <w:szCs w:val="26"/>
        </w:rPr>
        <w:t>Изучив письменные материалы дела, мировой судья установил следующее.</w:t>
      </w:r>
    </w:p>
    <w:p w:rsidR="00E147DB" w:rsidRPr="00EE746C" w:rsidP="00E147D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746C">
        <w:rPr>
          <w:rFonts w:ascii="Times New Roman" w:hAnsi="Times New Roman" w:cs="Times New Roman"/>
          <w:sz w:val="26"/>
          <w:szCs w:val="26"/>
        </w:rPr>
        <w:t>В соответствии со ст.2.1 КоАП РФ –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bCs/>
          <w:sz w:val="26"/>
          <w:szCs w:val="26"/>
        </w:rPr>
        <w:t xml:space="preserve">Статьей 19.5 ч.12 КоАП РФ предусмотрена ответственность </w:t>
      </w:r>
      <w:r w:rsidRPr="00EE746C">
        <w:rPr>
          <w:sz w:val="26"/>
          <w:szCs w:val="26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E147DB" w:rsidRPr="00EE746C" w:rsidP="00E147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>Из положений Федерального закона № 69-ФЗ от 21.12.1994 г. «О пожарной безопасности» следует, что закон определяет общие правовые, экономические и социальные основы обеспечения пожарной безопасности в Российской Федерации, 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организационно-правовых форм и форм собственности,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гражданства.</w:t>
      </w:r>
    </w:p>
    <w:p w:rsidR="00E147DB" w:rsidRPr="00EE746C" w:rsidP="00E147D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EE746C">
        <w:rPr>
          <w:sz w:val="26"/>
          <w:szCs w:val="26"/>
        </w:rPr>
        <w:t xml:space="preserve">К отношениям, связанным с осуществлением федерального государственного пожарного надзора, организацией и проведением проверок организаций, применяются положения Федерального </w:t>
      </w:r>
      <w:hyperlink r:id="rId4" w:history="1">
        <w:r w:rsidRPr="00EE746C">
          <w:rPr>
            <w:rStyle w:val="Hyperlink"/>
            <w:sz w:val="26"/>
            <w:szCs w:val="26"/>
          </w:rPr>
          <w:t>закона</w:t>
        </w:r>
      </w:hyperlink>
      <w:r w:rsidRPr="00EE746C">
        <w:rPr>
          <w:sz w:val="26"/>
          <w:szCs w:val="26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ст. 6.1 ФЗ № 69.</w:t>
      </w:r>
    </w:p>
    <w:p w:rsidR="00E147DB" w:rsidRPr="00EE746C" w:rsidP="00E147DB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EE746C">
        <w:rPr>
          <w:sz w:val="26"/>
          <w:szCs w:val="26"/>
        </w:rPr>
        <w:t xml:space="preserve">Ответственность за нарушение требований пожарной безопасности и административная ответственность руководителей организаций предусмотрена </w:t>
      </w:r>
      <w:r w:rsidRPr="00EE746C">
        <w:rPr>
          <w:sz w:val="26"/>
          <w:szCs w:val="26"/>
        </w:rPr>
        <w:t>ст.ст</w:t>
      </w:r>
      <w:r w:rsidRPr="00EE746C">
        <w:rPr>
          <w:sz w:val="26"/>
          <w:szCs w:val="26"/>
        </w:rPr>
        <w:t xml:space="preserve">. 38, 39 данного закона, согласно которых основания и порядок привлечения к административной ответственности за правонарушения в области пожарной безопасности устанавливаются </w:t>
      </w:r>
      <w:hyperlink r:id="rId5" w:history="1">
        <w:r w:rsidRPr="00EE746C">
          <w:rPr>
            <w:rStyle w:val="Hyperlink"/>
            <w:sz w:val="26"/>
            <w:szCs w:val="26"/>
          </w:rPr>
          <w:t>законодательством</w:t>
        </w:r>
      </w:hyperlink>
      <w:r w:rsidRPr="00EE746C">
        <w:rPr>
          <w:sz w:val="26"/>
          <w:szCs w:val="26"/>
        </w:rPr>
        <w:t xml:space="preserve"> Российской Федерации.</w:t>
      </w:r>
    </w:p>
    <w:p w:rsidR="00E147DB" w:rsidRPr="00EE746C" w:rsidP="00E147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>В силу п. 3 ст. 9 Федерального закона от 8 августа 2001 г. N 134-ФЗ «О защите прав юридических лиц и индивидуальных предпринимателей при проведении государственного контроля (надзора),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E147DB" w:rsidRPr="00EE746C" w:rsidP="00E147DB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E746C">
        <w:rPr>
          <w:rFonts w:ascii="Times New Roman" w:hAnsi="Times New Roman"/>
          <w:sz w:val="26"/>
          <w:szCs w:val="26"/>
        </w:rPr>
        <w:t xml:space="preserve">В ходе судебного заседания установлено, что 19.06.2023 сотрудниками отдела Управления надзорной деятельности и профилактической работы по </w:t>
      </w:r>
      <w:r w:rsidRPr="00EE746C">
        <w:rPr>
          <w:rFonts w:ascii="Times New Roman" w:hAnsi="Times New Roman"/>
          <w:sz w:val="26"/>
          <w:szCs w:val="26"/>
        </w:rPr>
        <w:t>г.Ханты-Мансийску</w:t>
      </w:r>
      <w:r w:rsidRPr="00EE746C">
        <w:rPr>
          <w:rFonts w:ascii="Times New Roman" w:hAnsi="Times New Roman"/>
          <w:sz w:val="26"/>
          <w:szCs w:val="26"/>
        </w:rPr>
        <w:t xml:space="preserve"> и району в адрес ДТСН Движенец вынесено предписание </w:t>
      </w:r>
      <w:r w:rsidRPr="00EE746C">
        <w:rPr>
          <w:sz w:val="26"/>
          <w:szCs w:val="26"/>
        </w:rPr>
        <w:t xml:space="preserve">№ </w:t>
      </w:r>
      <w:r w:rsidR="00A0140A">
        <w:rPr>
          <w:sz w:val="26"/>
          <w:szCs w:val="26"/>
        </w:rPr>
        <w:t xml:space="preserve">*** </w:t>
      </w:r>
      <w:r w:rsidRPr="00EE746C">
        <w:rPr>
          <w:rFonts w:ascii="Times New Roman" w:hAnsi="Times New Roman"/>
          <w:sz w:val="26"/>
          <w:szCs w:val="26"/>
        </w:rPr>
        <w:t>об устранении в срок 17.06.2024 нарушений ФЗ от 22.07.2008 №123-ФЗ «Технический регламент о требованиях пожарной безопасности», ФЗ от 21.12.1994 №69-ФЗ «О пожарной безопасности», Положения о противопожарной службе Ханты-Мансийского автономного округа – Югры, утвержденного постановлением Правительства Ханты-Мансийского автономного округа – Югры от 02.04.2011 №94-п.</w:t>
      </w:r>
    </w:p>
    <w:p w:rsidR="00E147DB" w:rsidRPr="00EE746C" w:rsidP="00E147D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E746C">
        <w:rPr>
          <w:bCs/>
          <w:sz w:val="26"/>
          <w:szCs w:val="26"/>
        </w:rPr>
        <w:t>Устранение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E147DB" w:rsidRPr="00EE746C" w:rsidP="00E147DB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E746C">
        <w:rPr>
          <w:rFonts w:ascii="Times New Roman" w:hAnsi="Times New Roman"/>
          <w:sz w:val="26"/>
          <w:szCs w:val="26"/>
        </w:rPr>
        <w:t xml:space="preserve">Отделом проведена проверка по исполнению </w:t>
      </w:r>
      <w:r w:rsidRPr="00EE746C">
        <w:rPr>
          <w:rFonts w:ascii="Times New Roman" w:hAnsi="Times New Roman"/>
          <w:sz w:val="26"/>
          <w:szCs w:val="26"/>
        </w:rPr>
        <w:t>предписания  от</w:t>
      </w:r>
      <w:r w:rsidRPr="00EE746C">
        <w:rPr>
          <w:rFonts w:ascii="Times New Roman" w:hAnsi="Times New Roman"/>
          <w:sz w:val="26"/>
          <w:szCs w:val="26"/>
        </w:rPr>
        <w:t xml:space="preserve"> 19.06.2023.</w:t>
      </w:r>
    </w:p>
    <w:p w:rsidR="00E147DB" w:rsidRPr="00EE746C" w:rsidP="00E147DB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EE746C">
        <w:rPr>
          <w:rFonts w:ascii="Times New Roman" w:hAnsi="Times New Roman"/>
          <w:sz w:val="26"/>
          <w:szCs w:val="26"/>
        </w:rPr>
        <w:t>В результате проведенной проверки установлено, что требования предписания не выполнены, что зафиксировано в акте проверки.</w:t>
      </w: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>Законность предписания заключается в том, оно выдано тем органом (должностным лицом), в компетенцию которого входит осуществление функции, по государственному региональному контролю (надзору).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Согласно Положению о Федеральной государственном пожарном надзоре, утвержденному постановлением Правительства РФ от 12.04.2012 г. №290,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</w:t>
      </w:r>
      <w:hyperlink r:id="rId6" w:history="1">
        <w:r w:rsidRPr="00EE746C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EE746C">
        <w:rPr>
          <w:sz w:val="26"/>
          <w:szCs w:val="26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</w:t>
      </w:r>
      <w:r w:rsidRPr="00EE746C">
        <w:rPr>
          <w:sz w:val="26"/>
          <w:szCs w:val="26"/>
        </w:rPr>
        <w:t>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E147DB" w:rsidRPr="00EE746C" w:rsidP="00E147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>Согласно п.5 указанного Положения, органы государственного пожарного надзора в рамках своей компетенции организуют и проводят проверки деятельности организаций и граждан, состояния используемых (эксплуатируемых) ими объектов защиты.</w:t>
      </w: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>В п.9 Положения закреплено право государственных инспекторов городов (районов) субъектов Российской Федерации по пожарному надзору и государственные инспекторы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E147DB" w:rsidRPr="00EE746C" w:rsidP="00E147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Из вышеизложенного следует, что при выдаче данного предписания сотрудник отдела надзорной деятельности и профилактической работы по </w:t>
      </w:r>
      <w:r w:rsidRPr="00EE746C">
        <w:rPr>
          <w:sz w:val="26"/>
          <w:szCs w:val="26"/>
        </w:rPr>
        <w:t>г.Ханты-Мансийску</w:t>
      </w:r>
      <w:r w:rsidRPr="00EE746C">
        <w:rPr>
          <w:sz w:val="26"/>
          <w:szCs w:val="26"/>
        </w:rPr>
        <w:t xml:space="preserve"> и району руководствовался требованиями закона и иных нормативных правовых актов, его действия предусмотрены законом и не выходят за рамки его компетенции. </w:t>
      </w: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>Предписание юридическим лицом не обжаловано.</w:t>
      </w: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Мировым судьей при рассмотрении дела не установлено нарушений при вынесении предписания. </w:t>
      </w:r>
    </w:p>
    <w:p w:rsidR="00E147DB" w:rsidRPr="00EE746C" w:rsidP="00E147DB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E746C">
        <w:rPr>
          <w:rFonts w:ascii="Times New Roman" w:hAnsi="Times New Roman"/>
          <w:b w:val="0"/>
          <w:color w:val="auto"/>
          <w:sz w:val="26"/>
          <w:szCs w:val="26"/>
        </w:rPr>
        <w:t>Виновность ДТСН Движенец в совершении инкриминируемого правонарушения подтверждается: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- протоколом об административном правонарушении;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- копией решения о проведении поверки,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- протоколом опроса,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 xml:space="preserve">- протоколом осмотра с </w:t>
      </w:r>
      <w:r w:rsidRPr="00EE746C">
        <w:rPr>
          <w:szCs w:val="26"/>
        </w:rPr>
        <w:t>фототаблицей</w:t>
      </w:r>
      <w:r w:rsidRPr="00EE746C">
        <w:rPr>
          <w:szCs w:val="26"/>
        </w:rPr>
        <w:t>,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- актом проверки.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- предписанием,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-выпиской из ЕГРЮЛ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-копией проткала общего собрания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-письмами</w:t>
      </w:r>
    </w:p>
    <w:p w:rsidR="00E147DB" w:rsidRPr="00EE746C" w:rsidP="00E147DB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E147DB" w:rsidRPr="00EE746C" w:rsidP="00E147DB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EE746C">
        <w:rPr>
          <w:rFonts w:eastAsia="Calibri"/>
          <w:sz w:val="26"/>
          <w:szCs w:val="26"/>
        </w:rPr>
        <w:t>Объективных доказательств, подтверждающих, что после получения предписания юридическим лицом предпринимались в соответствии с законодательством все необходимые меры для надлежащего исполнения предписания</w:t>
      </w:r>
      <w:r w:rsidRPr="00EE746C">
        <w:rPr>
          <w:sz w:val="26"/>
          <w:szCs w:val="26"/>
        </w:rPr>
        <w:t xml:space="preserve"> или юридическое лицо было лишено всякой возможности выполнить необходимые действия по выполнению предписания</w:t>
      </w:r>
      <w:r w:rsidRPr="00EE746C">
        <w:rPr>
          <w:rFonts w:eastAsia="Calibri"/>
          <w:sz w:val="26"/>
          <w:szCs w:val="26"/>
        </w:rPr>
        <w:t>, суду не представлено</w:t>
      </w:r>
      <w:r w:rsidRPr="00EE746C">
        <w:rPr>
          <w:sz w:val="26"/>
          <w:szCs w:val="26"/>
        </w:rPr>
        <w:t>.</w:t>
      </w:r>
    </w:p>
    <w:p w:rsidR="00E147DB" w:rsidRPr="00EE746C" w:rsidP="00E147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В судебном заседании установлено, что ДТСН Движенец имело возможность для соблюдения требований законодательства, однако не приняло все зависящие от него меры по его соблюдению. </w:t>
      </w: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Виновность юридического лица в совершенном правонарушении, выразившимся в невыполнении в установленный срок законного предписания </w:t>
      </w:r>
      <w:r w:rsidRPr="00EE746C">
        <w:rPr>
          <w:sz w:val="26"/>
          <w:szCs w:val="26"/>
        </w:rPr>
        <w:t xml:space="preserve">органа, осуществляющего федеральный государственный пожарный надзор, нашла свое подтверждение при рассмотрении дела. 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Доказательств, подтверждающих наличия объективных обстоятельств, препятствующих своевременному выполнению требований противопожарной безопасности, не представлено.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Доводы, указанные в письменных пояснениях, не освобождаю от административной ответственности.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Действия нарушителя мировой судья квалифицирует по ч.12 ст.19.5 КоАП РФ.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Смягчающих и отягчающих административную ответственность обстоятельств судом не установлено.</w:t>
      </w:r>
    </w:p>
    <w:p w:rsidR="00E147DB" w:rsidRPr="00EE746C" w:rsidP="00E147DB">
      <w:pPr>
        <w:pStyle w:val="BodyTextIndent"/>
        <w:ind w:firstLine="567"/>
        <w:rPr>
          <w:szCs w:val="26"/>
        </w:rPr>
      </w:pPr>
      <w:r w:rsidRPr="00EE746C">
        <w:rPr>
          <w:szCs w:val="26"/>
        </w:rPr>
        <w:t>Определяя вид и меру наказания нарушителю, суд учитывает характер правонарушения и его последствия; финансовое положение нарушителя.</w:t>
      </w:r>
    </w:p>
    <w:p w:rsidR="00E147DB" w:rsidRPr="00EE746C" w:rsidP="00E147DB">
      <w:pPr>
        <w:ind w:firstLine="567"/>
        <w:jc w:val="both"/>
        <w:rPr>
          <w:rFonts w:ascii="Roboto" w:hAnsi="Roboto"/>
          <w:color w:val="000000"/>
          <w:sz w:val="26"/>
          <w:szCs w:val="26"/>
        </w:rPr>
      </w:pPr>
      <w:r w:rsidRPr="00EE746C">
        <w:rPr>
          <w:rFonts w:ascii="Roboto" w:hAnsi="Roboto"/>
          <w:color w:val="000000"/>
          <w:sz w:val="26"/>
          <w:szCs w:val="26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</w:t>
      </w:r>
      <w:r w:rsidRPr="00EE746C">
        <w:rPr>
          <w:rStyle w:val="Emphasis"/>
          <w:rFonts w:ascii="Roboto" w:hAnsi="Roboto"/>
          <w:i w:val="0"/>
          <w:color w:val="000000"/>
          <w:sz w:val="26"/>
          <w:szCs w:val="26"/>
        </w:rPr>
        <w:t>малозначительности</w:t>
      </w:r>
      <w:r w:rsidRPr="00EE746C">
        <w:rPr>
          <w:rFonts w:ascii="Roboto" w:hAnsi="Roboto"/>
          <w:color w:val="000000"/>
          <w:sz w:val="26"/>
          <w:szCs w:val="26"/>
        </w:rPr>
        <w:t xml:space="preserve"> совершенного </w:t>
      </w:r>
      <w:r w:rsidRPr="00EE746C">
        <w:rPr>
          <w:rStyle w:val="Emphasis"/>
          <w:rFonts w:ascii="Roboto" w:hAnsi="Roboto"/>
          <w:i w:val="0"/>
          <w:color w:val="000000"/>
          <w:sz w:val="26"/>
          <w:szCs w:val="26"/>
        </w:rPr>
        <w:t>правонарушения</w:t>
      </w:r>
      <w:r w:rsidRPr="00EE746C">
        <w:rPr>
          <w:rFonts w:ascii="Roboto" w:hAnsi="Roboto"/>
          <w:color w:val="000000"/>
          <w:sz w:val="26"/>
          <w:szCs w:val="26"/>
        </w:rPr>
        <w:t xml:space="preserve">. Предусмотренное </w:t>
      </w:r>
      <w:hyperlink r:id="rId7" w:anchor="/document/12125267/entry/19512" w:history="1">
        <w:r w:rsidRPr="00EE746C">
          <w:rPr>
            <w:rStyle w:val="Hyperlink"/>
            <w:rFonts w:ascii="Roboto" w:hAnsi="Roboto"/>
            <w:iCs/>
            <w:color w:val="auto"/>
            <w:sz w:val="26"/>
            <w:szCs w:val="26"/>
          </w:rPr>
          <w:t>ч</w:t>
        </w:r>
        <w:r w:rsidRPr="00EE746C"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 w:rsidRPr="00EE746C">
          <w:rPr>
            <w:rStyle w:val="Hyperlink"/>
            <w:rFonts w:ascii="Roboto" w:hAnsi="Roboto"/>
            <w:iCs/>
            <w:color w:val="auto"/>
            <w:sz w:val="26"/>
            <w:szCs w:val="26"/>
          </w:rPr>
          <w:t>12</w:t>
        </w:r>
        <w:r w:rsidRPr="00EE746C">
          <w:rPr>
            <w:rStyle w:val="Hyperlink"/>
            <w:rFonts w:ascii="Roboto" w:hAnsi="Roboto"/>
            <w:i/>
            <w:sz w:val="26"/>
            <w:szCs w:val="26"/>
          </w:rPr>
          <w:t xml:space="preserve"> </w:t>
        </w:r>
        <w:r w:rsidRPr="00EE746C">
          <w:rPr>
            <w:rStyle w:val="Hyperlink"/>
            <w:rFonts w:ascii="Roboto" w:hAnsi="Roboto"/>
            <w:iCs/>
            <w:color w:val="auto"/>
            <w:sz w:val="26"/>
            <w:szCs w:val="26"/>
          </w:rPr>
          <w:t>ст</w:t>
        </w:r>
        <w:r w:rsidRPr="00EE746C">
          <w:rPr>
            <w:rStyle w:val="Hyperlink"/>
            <w:rFonts w:ascii="Roboto" w:hAnsi="Roboto"/>
            <w:i/>
            <w:sz w:val="26"/>
            <w:szCs w:val="26"/>
          </w:rPr>
          <w:t xml:space="preserve">. </w:t>
        </w:r>
        <w:r w:rsidRPr="00EE746C">
          <w:rPr>
            <w:rStyle w:val="Hyperlink"/>
            <w:rFonts w:ascii="Roboto" w:hAnsi="Roboto"/>
            <w:iCs/>
            <w:color w:val="auto"/>
            <w:sz w:val="26"/>
            <w:szCs w:val="26"/>
          </w:rPr>
          <w:t>19</w:t>
        </w:r>
        <w:r w:rsidRPr="00EE746C">
          <w:rPr>
            <w:rStyle w:val="Hyperlink"/>
            <w:rFonts w:ascii="Roboto" w:hAnsi="Roboto"/>
            <w:i/>
            <w:sz w:val="26"/>
            <w:szCs w:val="26"/>
          </w:rPr>
          <w:t>.</w:t>
        </w:r>
        <w:r w:rsidRPr="00EE746C">
          <w:rPr>
            <w:rStyle w:val="Hyperlink"/>
            <w:rFonts w:ascii="Roboto" w:hAnsi="Roboto"/>
            <w:iCs/>
            <w:color w:val="auto"/>
            <w:sz w:val="26"/>
            <w:szCs w:val="26"/>
          </w:rPr>
          <w:t>5</w:t>
        </w:r>
      </w:hyperlink>
      <w:r w:rsidRPr="00EE746C">
        <w:rPr>
          <w:rFonts w:ascii="Roboto" w:hAnsi="Roboto"/>
          <w:i/>
          <w:sz w:val="26"/>
          <w:szCs w:val="26"/>
        </w:rPr>
        <w:t xml:space="preserve"> </w:t>
      </w:r>
      <w:r w:rsidRPr="00EE746C">
        <w:rPr>
          <w:rStyle w:val="Emphasis"/>
          <w:rFonts w:ascii="Roboto" w:hAnsi="Roboto"/>
          <w:i w:val="0"/>
          <w:color w:val="000000"/>
          <w:sz w:val="26"/>
          <w:szCs w:val="26"/>
        </w:rPr>
        <w:t>КоАП</w:t>
      </w:r>
      <w:r w:rsidRPr="00EE746C">
        <w:rPr>
          <w:rFonts w:ascii="Roboto" w:hAnsi="Roboto"/>
          <w:color w:val="000000"/>
          <w:sz w:val="26"/>
          <w:szCs w:val="26"/>
        </w:rPr>
        <w:t xml:space="preserve"> РФ правонарушение носит формальный характер и направлено на предотвращение возможных последствий.</w:t>
      </w:r>
    </w:p>
    <w:p w:rsidR="00E147DB" w:rsidRPr="00EE746C" w:rsidP="00E147DB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ДТСН Движенец совершило административное правонарушение против порядка управления, тяжких последствий не </w:t>
      </w:r>
      <w:r w:rsidRPr="00EE746C">
        <w:rPr>
          <w:sz w:val="26"/>
          <w:szCs w:val="26"/>
        </w:rPr>
        <w:t>наступило,  поэтому</w:t>
      </w:r>
      <w:r w:rsidRPr="00EE746C">
        <w:rPr>
          <w:sz w:val="26"/>
          <w:szCs w:val="26"/>
        </w:rPr>
        <w:t xml:space="preserve"> мировой судья назначает  наказание в виде  административного штрафа в минимальном размере.</w:t>
      </w:r>
    </w:p>
    <w:p w:rsidR="00E147DB" w:rsidRPr="00EE746C" w:rsidP="00E147DB">
      <w:pPr>
        <w:ind w:firstLine="567"/>
        <w:jc w:val="both"/>
        <w:rPr>
          <w:snapToGrid w:val="0"/>
          <w:sz w:val="26"/>
          <w:szCs w:val="26"/>
        </w:rPr>
      </w:pPr>
      <w:r w:rsidRPr="00EE746C"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E147DB" w:rsidRPr="00EE746C" w:rsidP="00E147DB">
      <w:pPr>
        <w:ind w:firstLine="567"/>
        <w:jc w:val="center"/>
        <w:rPr>
          <w:snapToGrid w:val="0"/>
          <w:sz w:val="26"/>
          <w:szCs w:val="26"/>
        </w:rPr>
      </w:pPr>
      <w:r w:rsidRPr="00EE746C">
        <w:rPr>
          <w:snapToGrid w:val="0"/>
          <w:sz w:val="26"/>
          <w:szCs w:val="26"/>
        </w:rPr>
        <w:t>ПОСТАНОВИЛ:</w:t>
      </w:r>
    </w:p>
    <w:p w:rsidR="00E147DB" w:rsidRPr="00EE746C" w:rsidP="00E147DB">
      <w:pPr>
        <w:pStyle w:val="BodyText2"/>
        <w:ind w:firstLine="567"/>
        <w:rPr>
          <w:color w:val="auto"/>
          <w:szCs w:val="26"/>
        </w:rPr>
      </w:pPr>
      <w:r w:rsidRPr="00EE746C">
        <w:rPr>
          <w:szCs w:val="26"/>
        </w:rPr>
        <w:t xml:space="preserve">Признать юридическое лицо – ДТСН «Движенец» виновным в совершении административного правонарушения, предусмотренного ч.12 ст.19.5 Кодекса РФ об административных правонарушениях </w:t>
      </w:r>
      <w:r w:rsidRPr="00EE746C">
        <w:rPr>
          <w:color w:val="auto"/>
          <w:szCs w:val="26"/>
        </w:rPr>
        <w:t xml:space="preserve">и назначить ему наказание в виде административного штрафа в размере 70000 (семьдесят тысяч) рублей. </w:t>
      </w:r>
    </w:p>
    <w:p w:rsidR="00E147DB" w:rsidRPr="00EE746C" w:rsidP="00E147DB">
      <w:pPr>
        <w:ind w:firstLine="567"/>
        <w:jc w:val="both"/>
        <w:rPr>
          <w:snapToGrid w:val="0"/>
          <w:sz w:val="26"/>
          <w:szCs w:val="26"/>
        </w:rPr>
      </w:pPr>
      <w:r w:rsidRPr="00EE746C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147DB" w:rsidRPr="00EE746C" w:rsidP="00E147D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EE746C">
          <w:rPr>
            <w:rStyle w:val="Hyperlink"/>
            <w:sz w:val="26"/>
            <w:szCs w:val="26"/>
          </w:rPr>
          <w:t>статьей 31.5</w:t>
        </w:r>
      </w:hyperlink>
      <w:r w:rsidRPr="00EE746C">
        <w:rPr>
          <w:sz w:val="26"/>
          <w:szCs w:val="26"/>
        </w:rPr>
        <w:t xml:space="preserve"> КоАП РФ.</w:t>
      </w:r>
    </w:p>
    <w:p w:rsidR="00E147DB" w:rsidRPr="00EE746C" w:rsidP="00E147DB">
      <w:pPr>
        <w:ind w:firstLine="567"/>
        <w:jc w:val="both"/>
        <w:rPr>
          <w:snapToGrid w:val="0"/>
          <w:sz w:val="26"/>
          <w:szCs w:val="26"/>
        </w:rPr>
      </w:pPr>
      <w:r w:rsidRPr="00EE746C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 w:rsidRPr="00EE746C">
          <w:rPr>
            <w:rStyle w:val="Hyperlink"/>
            <w:snapToGrid w:val="0"/>
            <w:sz w:val="26"/>
            <w:szCs w:val="26"/>
          </w:rPr>
          <w:t>части 1</w:t>
        </w:r>
      </w:hyperlink>
      <w:r w:rsidRPr="00EE746C"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 w:rsidRPr="00EE746C">
        <w:rPr>
          <w:snapToGrid w:val="0"/>
          <w:sz w:val="26"/>
          <w:szCs w:val="26"/>
        </w:rPr>
        <w:t xml:space="preserve">приставу-исполнителю для исполнения в порядке, предусмотренном </w:t>
      </w:r>
      <w:hyperlink r:id="rId9" w:history="1">
        <w:r w:rsidRPr="00EE746C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EE746C">
        <w:rPr>
          <w:snapToGrid w:val="0"/>
          <w:sz w:val="26"/>
          <w:szCs w:val="26"/>
        </w:rPr>
        <w:t xml:space="preserve">. 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Счет (ЕКС): 40102810245370000007</w:t>
      </w:r>
    </w:p>
    <w:p w:rsidR="00E147DB" w:rsidRPr="00EE746C" w:rsidP="00E147D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EE746C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Банк: РКЦ г. Ханты-Мансийска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БИК 007162163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ИНН 8601073664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КПП 860101001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ОКТМО – 71871000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л/</w:t>
      </w:r>
      <w:r w:rsidRPr="00EE746C">
        <w:rPr>
          <w:bCs/>
          <w:sz w:val="26"/>
          <w:szCs w:val="26"/>
        </w:rPr>
        <w:t>сч</w:t>
      </w:r>
      <w:r w:rsidRPr="00EE746C">
        <w:rPr>
          <w:bCs/>
          <w:sz w:val="26"/>
          <w:szCs w:val="26"/>
        </w:rPr>
        <w:t>. 04872D08080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EE746C">
        <w:rPr>
          <w:bCs/>
          <w:color w:val="000000"/>
          <w:sz w:val="26"/>
          <w:szCs w:val="26"/>
        </w:rPr>
        <w:t>КБК – 72011601193010005140</w:t>
      </w:r>
    </w:p>
    <w:p w:rsidR="00E147DB" w:rsidRPr="00EE746C" w:rsidP="00E147D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E746C">
        <w:rPr>
          <w:bCs/>
          <w:sz w:val="26"/>
          <w:szCs w:val="26"/>
        </w:rPr>
        <w:t>УИН 0412365400715010292419147</w:t>
      </w:r>
    </w:p>
    <w:p w:rsidR="00E147DB" w:rsidRPr="00EE746C" w:rsidP="00E147DB">
      <w:pPr>
        <w:jc w:val="both"/>
        <w:rPr>
          <w:sz w:val="26"/>
          <w:szCs w:val="26"/>
        </w:rPr>
      </w:pPr>
    </w:p>
    <w:p w:rsidR="00E147DB" w:rsidRPr="00EE746C" w:rsidP="00E147DB">
      <w:pPr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Мировой судья                                                                              О.А. Новокшенова     </w:t>
      </w:r>
    </w:p>
    <w:p w:rsidR="00E147DB" w:rsidRPr="00EE746C" w:rsidP="00E147DB">
      <w:pPr>
        <w:jc w:val="both"/>
        <w:rPr>
          <w:sz w:val="26"/>
          <w:szCs w:val="26"/>
        </w:rPr>
      </w:pPr>
      <w:r w:rsidRPr="00EE746C">
        <w:rPr>
          <w:sz w:val="26"/>
          <w:szCs w:val="26"/>
        </w:rPr>
        <w:t>Копия верна:</w:t>
      </w:r>
    </w:p>
    <w:p w:rsidR="00E147DB" w:rsidRPr="00EE746C" w:rsidP="00E147DB">
      <w:pPr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Мировой судья                                                                               О.А. Новокшенова    </w:t>
      </w:r>
    </w:p>
    <w:p w:rsidR="001401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AC"/>
    <w:rsid w:val="001401D8"/>
    <w:rsid w:val="004F21AC"/>
    <w:rsid w:val="00A0140A"/>
    <w:rsid w:val="00E147DB"/>
    <w:rsid w:val="00EE7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722540-E526-4915-B058-51DDB937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147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147D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E147DB"/>
    <w:rPr>
      <w:color w:val="0000FF"/>
      <w:u w:val="single"/>
    </w:rPr>
  </w:style>
  <w:style w:type="paragraph" w:styleId="Title">
    <w:name w:val="Title"/>
    <w:basedOn w:val="Normal"/>
    <w:link w:val="a"/>
    <w:qFormat/>
    <w:rsid w:val="00E147D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147D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147D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147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E147D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E147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147D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147D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E147DB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E147DB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E147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147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14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1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E147DB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EE746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E7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838;fld=134" TargetMode="External" /><Relationship Id="rId5" Type="http://schemas.openxmlformats.org/officeDocument/2006/relationships/hyperlink" Target="consultantplus://offline/main?base=LAW;n=117401;fld=134;dst=101712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